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E1" w:rsidRDefault="009C1200" w:rsidP="009C1200">
      <w:pPr>
        <w:jc w:val="center"/>
        <w:rPr>
          <w:rFonts w:ascii="Times New Roman" w:hAnsi="Times New Roman" w:cs="Times New Roman"/>
        </w:rPr>
      </w:pPr>
      <w:r>
        <w:rPr>
          <w:rFonts w:ascii="Times New Roman" w:hAnsi="Times New Roman" w:cs="Times New Roman"/>
        </w:rPr>
        <w:t>III.</w:t>
      </w:r>
    </w:p>
    <w:p w:rsidR="009C1200" w:rsidRDefault="00B01AD6" w:rsidP="009C1200">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b/>
          <w:color w:val="002060"/>
          <w:sz w:val="24"/>
          <w:szCs w:val="20"/>
          <w:lang w:eastAsia="cs-CZ"/>
        </w:rPr>
        <w:t xml:space="preserve">3.   </w:t>
      </w:r>
      <w:r w:rsidR="009C1200">
        <w:rPr>
          <w:rFonts w:ascii="Times New Roman" w:eastAsia="Times New Roman" w:hAnsi="Times New Roman" w:cs="Times New Roman"/>
          <w:b/>
          <w:color w:val="002060"/>
          <w:sz w:val="24"/>
          <w:szCs w:val="20"/>
          <w:lang w:eastAsia="cs-CZ"/>
        </w:rPr>
        <w:t xml:space="preserve">Povinnosti zákonných zástupců dětí – plnění povinnosti předškolního vzdělávání </w:t>
      </w:r>
    </w:p>
    <w:p w:rsidR="009C1200" w:rsidRDefault="009C1200" w:rsidP="009C1200">
      <w:pPr>
        <w:pStyle w:val="Odstavecseseznamem"/>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Povinnost předškolního vzdělávání nastává od 1. září školního roku následujícího po datu, kdy dítě dosáhne pěti let věku, až do doby, kdy dítě zahájí povinnou školní docházku. Pravidelné předškolní vzdělávání má formu </w:t>
      </w:r>
      <w:r>
        <w:rPr>
          <w:rFonts w:ascii="Times New Roman" w:eastAsia="Times New Roman" w:hAnsi="Times New Roman" w:cs="Times New Roman"/>
          <w:b/>
          <w:sz w:val="24"/>
          <w:szCs w:val="20"/>
          <w:lang w:eastAsia="cs-CZ"/>
        </w:rPr>
        <w:t>pravidelné denní docházky</w:t>
      </w:r>
      <w:r>
        <w:rPr>
          <w:rFonts w:ascii="Times New Roman" w:eastAsia="Times New Roman" w:hAnsi="Times New Roman" w:cs="Times New Roman"/>
          <w:sz w:val="24"/>
          <w:szCs w:val="20"/>
          <w:lang w:eastAsia="cs-CZ"/>
        </w:rPr>
        <w:t xml:space="preserve"> v pracovních dnech, mimo dny, na které připadá období školních prázdnin. V době prázdnin je docházka dobrovolná. Rozsah povinného předškolního vzdělávání je</w:t>
      </w:r>
      <w:r>
        <w:rPr>
          <w:rFonts w:ascii="Times New Roman" w:eastAsia="Times New Roman" w:hAnsi="Times New Roman" w:cs="Times New Roman"/>
          <w:color w:val="002060"/>
          <w:sz w:val="24"/>
          <w:szCs w:val="20"/>
          <w:u w:val="single"/>
          <w:lang w:eastAsia="cs-CZ"/>
        </w:rPr>
        <w:t xml:space="preserve"> </w:t>
      </w:r>
      <w:r>
        <w:rPr>
          <w:rFonts w:ascii="Times New Roman" w:eastAsia="Times New Roman" w:hAnsi="Times New Roman" w:cs="Times New Roman"/>
          <w:sz w:val="24"/>
          <w:szCs w:val="20"/>
          <w:lang w:eastAsia="cs-CZ"/>
        </w:rPr>
        <w:t>stanoven na 4</w:t>
      </w:r>
      <w:r>
        <w:rPr>
          <w:rFonts w:ascii="Times New Roman" w:eastAsia="Times New Roman" w:hAnsi="Times New Roman" w:cs="Times New Roman"/>
          <w:color w:val="002060"/>
          <w:sz w:val="24"/>
          <w:szCs w:val="20"/>
          <w:lang w:eastAsia="cs-CZ"/>
        </w:rPr>
        <w:t xml:space="preserve"> </w:t>
      </w:r>
      <w:r w:rsidRPr="00F83D99">
        <w:rPr>
          <w:rFonts w:ascii="Times New Roman" w:eastAsia="Times New Roman" w:hAnsi="Times New Roman" w:cs="Times New Roman"/>
          <w:sz w:val="24"/>
          <w:szCs w:val="20"/>
          <w:lang w:eastAsia="cs-CZ"/>
        </w:rPr>
        <w:t>nepřetržité</w:t>
      </w:r>
      <w:r>
        <w:rPr>
          <w:rFonts w:ascii="Times New Roman" w:eastAsia="Times New Roman" w:hAnsi="Times New Roman" w:cs="Times New Roman"/>
          <w:color w:val="002060"/>
          <w:sz w:val="24"/>
          <w:szCs w:val="20"/>
          <w:lang w:eastAsia="cs-CZ"/>
        </w:rPr>
        <w:t xml:space="preserve"> </w:t>
      </w:r>
      <w:r>
        <w:rPr>
          <w:rFonts w:ascii="Times New Roman" w:eastAsia="Times New Roman" w:hAnsi="Times New Roman" w:cs="Times New Roman"/>
          <w:sz w:val="24"/>
          <w:szCs w:val="20"/>
          <w:lang w:eastAsia="cs-CZ"/>
        </w:rPr>
        <w:t>hodiny denně.</w:t>
      </w:r>
      <w:r>
        <w:rPr>
          <w:rFonts w:ascii="Times New Roman" w:eastAsia="Times New Roman" w:hAnsi="Times New Roman" w:cs="Times New Roman"/>
          <w:color w:val="002060"/>
          <w:sz w:val="24"/>
          <w:szCs w:val="20"/>
          <w:lang w:eastAsia="cs-CZ"/>
        </w:rPr>
        <w:t xml:space="preserve"> </w:t>
      </w:r>
      <w:r w:rsidRPr="00F83D99">
        <w:rPr>
          <w:rFonts w:ascii="Times New Roman" w:eastAsia="Times New Roman" w:hAnsi="Times New Roman" w:cs="Times New Roman"/>
          <w:sz w:val="24"/>
          <w:szCs w:val="20"/>
          <w:lang w:eastAsia="cs-CZ"/>
        </w:rPr>
        <w:t xml:space="preserve">Začátek - 8:00 h, konec -12 </w:t>
      </w:r>
      <w:proofErr w:type="spellStart"/>
      <w:r w:rsidRPr="00F83D99">
        <w:rPr>
          <w:rFonts w:ascii="Times New Roman" w:eastAsia="Times New Roman" w:hAnsi="Times New Roman" w:cs="Times New Roman"/>
          <w:sz w:val="24"/>
          <w:szCs w:val="20"/>
          <w:lang w:eastAsia="cs-CZ"/>
        </w:rPr>
        <w:t>h</w:t>
      </w:r>
      <w:proofErr w:type="spellEnd"/>
      <w:r w:rsidRPr="00F83D99">
        <w:rPr>
          <w:rFonts w:ascii="Times New Roman" w:eastAsia="Times New Roman" w:hAnsi="Times New Roman" w:cs="Times New Roman"/>
          <w:sz w:val="24"/>
          <w:szCs w:val="20"/>
          <w:lang w:eastAsia="cs-CZ"/>
        </w:rPr>
        <w:t>.</w:t>
      </w:r>
      <w:r>
        <w:rPr>
          <w:rFonts w:ascii="Times New Roman" w:eastAsia="Times New Roman" w:hAnsi="Times New Roman" w:cs="Times New Roman"/>
          <w:sz w:val="24"/>
          <w:szCs w:val="20"/>
          <w:lang w:eastAsia="cs-CZ"/>
        </w:rPr>
        <w:t xml:space="preserve"> </w:t>
      </w:r>
    </w:p>
    <w:p w:rsidR="009C1200" w:rsidRDefault="009C1200" w:rsidP="009C120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0"/>
          <w:lang w:eastAsia="cs-CZ"/>
        </w:rPr>
      </w:pPr>
    </w:p>
    <w:tbl>
      <w:tblPr>
        <w:tblStyle w:val="Stednseznam2zvraznn1"/>
        <w:tblW w:w="5000" w:type="pct"/>
        <w:tblLook w:val="04A0"/>
      </w:tblPr>
      <w:tblGrid>
        <w:gridCol w:w="2243"/>
        <w:gridCol w:w="1246"/>
        <w:gridCol w:w="1696"/>
        <w:gridCol w:w="1249"/>
        <w:gridCol w:w="1251"/>
        <w:gridCol w:w="1603"/>
      </w:tblGrid>
      <w:tr w:rsidR="009C1200" w:rsidTr="009C1200">
        <w:trPr>
          <w:cnfStyle w:val="100000000000"/>
        </w:trPr>
        <w:tc>
          <w:tcPr>
            <w:cnfStyle w:val="001000000100"/>
            <w:tcW w:w="818" w:type="pct"/>
            <w:noWrap/>
            <w:hideMark/>
          </w:tcPr>
          <w:p w:rsidR="009C1200" w:rsidRDefault="009C1200">
            <w:pPr>
              <w:rPr>
                <w:rFonts w:ascii="Times New Roman" w:eastAsiaTheme="minorEastAsia" w:hAnsi="Times New Roman" w:cs="Times New Roman"/>
              </w:rPr>
            </w:pPr>
            <w:r>
              <w:rPr>
                <w:rFonts w:ascii="Times New Roman" w:eastAsiaTheme="minorEastAsia" w:hAnsi="Times New Roman" w:cs="Times New Roman"/>
              </w:rPr>
              <w:t xml:space="preserve">Provoz mateřské </w:t>
            </w:r>
          </w:p>
          <w:p w:rsidR="009C1200" w:rsidRDefault="009C1200">
            <w:pPr>
              <w:rPr>
                <w:rFonts w:ascii="Times New Roman" w:eastAsiaTheme="minorEastAsia" w:hAnsi="Times New Roman" w:cs="Times New Roman"/>
              </w:rPr>
            </w:pPr>
            <w:r>
              <w:rPr>
                <w:rFonts w:ascii="Times New Roman" w:eastAsiaTheme="minorEastAsia" w:hAnsi="Times New Roman" w:cs="Times New Roman"/>
              </w:rPr>
              <w:t>školy</w:t>
            </w:r>
          </w:p>
        </w:tc>
        <w:tc>
          <w:tcPr>
            <w:tcW w:w="849" w:type="pct"/>
            <w:hideMark/>
          </w:tcPr>
          <w:p w:rsidR="009C1200" w:rsidRDefault="009C1200">
            <w:pPr>
              <w:jc w:val="center"/>
              <w:cnfStyle w:val="100000000000"/>
              <w:rPr>
                <w:rFonts w:ascii="Times New Roman" w:eastAsiaTheme="minorEastAsia" w:hAnsi="Times New Roman" w:cs="Times New Roman"/>
              </w:rPr>
            </w:pPr>
            <w:r>
              <w:rPr>
                <w:rFonts w:ascii="Times New Roman" w:eastAsiaTheme="minorEastAsia" w:hAnsi="Times New Roman" w:cs="Times New Roman"/>
              </w:rPr>
              <w:t>Režim dne</w:t>
            </w:r>
          </w:p>
        </w:tc>
        <w:tc>
          <w:tcPr>
            <w:tcW w:w="849" w:type="pct"/>
          </w:tcPr>
          <w:p w:rsidR="009C1200" w:rsidRDefault="009C1200">
            <w:pPr>
              <w:jc w:val="center"/>
              <w:cnfStyle w:val="100000000000"/>
              <w:rPr>
                <w:rFonts w:ascii="Times New Roman" w:eastAsiaTheme="minorEastAsia" w:hAnsi="Times New Roman" w:cs="Times New Roman"/>
              </w:rPr>
            </w:pPr>
          </w:p>
        </w:tc>
        <w:tc>
          <w:tcPr>
            <w:tcW w:w="850" w:type="pct"/>
          </w:tcPr>
          <w:p w:rsidR="009C1200" w:rsidRDefault="009C1200">
            <w:pPr>
              <w:jc w:val="center"/>
              <w:cnfStyle w:val="100000000000"/>
              <w:rPr>
                <w:rFonts w:ascii="Times New Roman" w:eastAsiaTheme="minorEastAsia" w:hAnsi="Times New Roman" w:cs="Times New Roman"/>
              </w:rPr>
            </w:pPr>
          </w:p>
        </w:tc>
        <w:tc>
          <w:tcPr>
            <w:tcW w:w="851" w:type="pct"/>
          </w:tcPr>
          <w:p w:rsidR="009C1200" w:rsidRDefault="009C1200">
            <w:pPr>
              <w:jc w:val="center"/>
              <w:cnfStyle w:val="100000000000"/>
              <w:rPr>
                <w:rFonts w:ascii="Times New Roman" w:eastAsiaTheme="minorEastAsia" w:hAnsi="Times New Roman" w:cs="Times New Roman"/>
              </w:rPr>
            </w:pPr>
          </w:p>
        </w:tc>
        <w:tc>
          <w:tcPr>
            <w:tcW w:w="783" w:type="pct"/>
          </w:tcPr>
          <w:p w:rsidR="009C1200" w:rsidRDefault="009C1200">
            <w:pPr>
              <w:jc w:val="center"/>
              <w:cnfStyle w:val="100000000000"/>
              <w:rPr>
                <w:rFonts w:ascii="Times New Roman" w:eastAsiaTheme="minorEastAsia" w:hAnsi="Times New Roman" w:cs="Times New Roman"/>
              </w:rPr>
            </w:pPr>
          </w:p>
        </w:tc>
      </w:tr>
      <w:tr w:rsidR="009C1200" w:rsidTr="009C1200">
        <w:trPr>
          <w:cnfStyle w:val="000000100000"/>
        </w:trPr>
        <w:tc>
          <w:tcPr>
            <w:cnfStyle w:val="001000000000"/>
            <w:tcW w:w="818" w:type="pct"/>
            <w:noWrap/>
            <w:hideMark/>
          </w:tcPr>
          <w:p w:rsidR="009C1200" w:rsidRDefault="009C120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Provoz mateřské</w:t>
            </w:r>
          </w:p>
          <w:p w:rsidR="009C1200" w:rsidRDefault="009C120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Školy se uskutečňuje</w:t>
            </w:r>
          </w:p>
          <w:p w:rsidR="009C1200" w:rsidRDefault="009C120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Od 7:00</w:t>
            </w:r>
          </w:p>
          <w:p w:rsidR="009C1200" w:rsidRDefault="009C120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Do 17:00 hodin.</w:t>
            </w: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7:00 – 8:00</w:t>
            </w: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Příchod dětí,</w:t>
            </w:r>
          </w:p>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předání dětí učitelce mateřské školy</w:t>
            </w:r>
          </w:p>
        </w:tc>
        <w:tc>
          <w:tcPr>
            <w:tcW w:w="850" w:type="pct"/>
          </w:tcPr>
          <w:p w:rsidR="009C1200" w:rsidRDefault="009C1200">
            <w:pPr>
              <w:jc w:val="center"/>
              <w:cnfStyle w:val="000000100000"/>
              <w:rPr>
                <w:rFonts w:ascii="Times New Roman" w:eastAsiaTheme="minorEastAsia" w:hAnsi="Times New Roman" w:cs="Times New Roman"/>
                <w:sz w:val="24"/>
                <w:szCs w:val="24"/>
              </w:rPr>
            </w:pPr>
          </w:p>
        </w:tc>
        <w:tc>
          <w:tcPr>
            <w:tcW w:w="851" w:type="pct"/>
          </w:tcPr>
          <w:p w:rsidR="009C1200" w:rsidRDefault="009C1200">
            <w:pPr>
              <w:jc w:val="center"/>
              <w:cnfStyle w:val="000000100000"/>
              <w:rPr>
                <w:rFonts w:ascii="Times New Roman" w:eastAsiaTheme="minorEastAsia" w:hAnsi="Times New Roman" w:cs="Times New Roman"/>
                <w:sz w:val="24"/>
                <w:szCs w:val="24"/>
              </w:rPr>
            </w:pPr>
          </w:p>
        </w:tc>
        <w:tc>
          <w:tcPr>
            <w:tcW w:w="783" w:type="pct"/>
            <w:tcBorders>
              <w:right w:val="single" w:sz="8" w:space="0" w:color="4F81BD" w:themeColor="accent1"/>
            </w:tcBorders>
          </w:tcPr>
          <w:p w:rsidR="009C1200" w:rsidRDefault="009C1200">
            <w:pPr>
              <w:jc w:val="center"/>
              <w:cnfStyle w:val="000000100000"/>
              <w:rPr>
                <w:rFonts w:ascii="Times New Roman" w:eastAsiaTheme="minorEastAsia" w:hAnsi="Times New Roman" w:cs="Times New Roman"/>
                <w:sz w:val="24"/>
                <w:szCs w:val="24"/>
              </w:rPr>
            </w:pPr>
          </w:p>
        </w:tc>
      </w:tr>
      <w:tr w:rsidR="009C1200" w:rsidTr="009C1200">
        <w:tc>
          <w:tcPr>
            <w:cnfStyle w:val="001000000000"/>
            <w:tcW w:w="818" w:type="pct"/>
            <w:tcBorders>
              <w:top w:val="nil"/>
            </w:tcBorders>
            <w:noWrap/>
          </w:tcPr>
          <w:p w:rsidR="009C1200" w:rsidRDefault="009C1200">
            <w:pPr>
              <w:rPr>
                <w:rFonts w:ascii="Times New Roman" w:eastAsiaTheme="minorEastAsia" w:hAnsi="Times New Roman" w:cs="Times New Roman"/>
                <w:sz w:val="24"/>
                <w:szCs w:val="24"/>
              </w:rPr>
            </w:pPr>
          </w:p>
        </w:tc>
        <w:tc>
          <w:tcPr>
            <w:tcW w:w="849" w:type="pct"/>
            <w:tcBorders>
              <w:top w:val="nil"/>
              <w:left w:val="nil"/>
              <w:bottom w:val="nil"/>
              <w:right w:val="nil"/>
            </w:tcBorders>
            <w:hideMark/>
          </w:tcPr>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8:00 – 8:30</w:t>
            </w:r>
          </w:p>
        </w:tc>
        <w:tc>
          <w:tcPr>
            <w:tcW w:w="849" w:type="pct"/>
            <w:tcBorders>
              <w:top w:val="nil"/>
              <w:left w:val="nil"/>
              <w:bottom w:val="nil"/>
              <w:right w:val="nil"/>
            </w:tcBorders>
            <w:hideMark/>
          </w:tcPr>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Pohybové aktivity</w:t>
            </w:r>
          </w:p>
        </w:tc>
        <w:tc>
          <w:tcPr>
            <w:tcW w:w="850" w:type="pct"/>
            <w:tcBorders>
              <w:top w:val="nil"/>
              <w:left w:val="nil"/>
              <w:bottom w:val="nil"/>
              <w:right w:val="nil"/>
            </w:tcBorders>
            <w:hideMark/>
          </w:tcPr>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8:00</w:t>
            </w:r>
          </w:p>
        </w:tc>
        <w:tc>
          <w:tcPr>
            <w:tcW w:w="851" w:type="pct"/>
            <w:tcBorders>
              <w:top w:val="nil"/>
              <w:left w:val="nil"/>
              <w:bottom w:val="nil"/>
              <w:right w:val="nil"/>
            </w:tcBorders>
          </w:tcPr>
          <w:p w:rsidR="009C1200" w:rsidRDefault="009C1200">
            <w:pPr>
              <w:jc w:val="center"/>
              <w:cnfStyle w:val="000000000000"/>
              <w:rPr>
                <w:rFonts w:ascii="Times New Roman" w:eastAsiaTheme="minorEastAsia" w:hAnsi="Times New Roman" w:cs="Times New Roman"/>
                <w:sz w:val="24"/>
                <w:szCs w:val="24"/>
              </w:rPr>
            </w:pPr>
          </w:p>
        </w:tc>
        <w:tc>
          <w:tcPr>
            <w:tcW w:w="783" w:type="pct"/>
            <w:tcBorders>
              <w:top w:val="nil"/>
              <w:left w:val="nil"/>
              <w:bottom w:val="nil"/>
              <w:right w:val="single" w:sz="8" w:space="0" w:color="4F81BD" w:themeColor="accent1"/>
            </w:tcBorders>
            <w:hideMark/>
          </w:tcPr>
          <w:p w:rsidR="009C1200" w:rsidRDefault="009C1200">
            <w:pPr>
              <w:jc w:val="center"/>
              <w:cnfStyle w:val="0000000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Rozsah 4 nepřetržitých hodin, ve kterých dítě, na které se vztahuje povinnost předškolního vzdělávání, </w:t>
            </w:r>
          </w:p>
        </w:tc>
      </w:tr>
      <w:tr w:rsidR="009C1200" w:rsidTr="009C1200">
        <w:trPr>
          <w:cnfStyle w:val="000000100000"/>
        </w:trPr>
        <w:tc>
          <w:tcPr>
            <w:cnfStyle w:val="001000000000"/>
            <w:tcW w:w="818" w:type="pct"/>
            <w:noWrap/>
          </w:tcPr>
          <w:p w:rsidR="009C1200" w:rsidRDefault="009C1200">
            <w:pPr>
              <w:rPr>
                <w:rFonts w:ascii="Times New Roman" w:eastAsiaTheme="minorEastAsia" w:hAnsi="Times New Roman" w:cs="Times New Roman"/>
                <w:sz w:val="24"/>
                <w:szCs w:val="24"/>
              </w:rPr>
            </w:pP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8:30 – 9:00</w:t>
            </w: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přesnídávka</w:t>
            </w:r>
          </w:p>
        </w:tc>
        <w:tc>
          <w:tcPr>
            <w:tcW w:w="850"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tc>
        <w:tc>
          <w:tcPr>
            <w:tcW w:w="851" w:type="pct"/>
          </w:tcPr>
          <w:p w:rsidR="009C1200" w:rsidRDefault="009C1200">
            <w:pPr>
              <w:jc w:val="center"/>
              <w:cnfStyle w:val="000000100000"/>
              <w:rPr>
                <w:rFonts w:ascii="Times New Roman" w:eastAsiaTheme="minorEastAsia" w:hAnsi="Times New Roman" w:cs="Times New Roman"/>
                <w:sz w:val="24"/>
                <w:szCs w:val="24"/>
              </w:rPr>
            </w:pPr>
          </w:p>
        </w:tc>
        <w:tc>
          <w:tcPr>
            <w:tcW w:w="783" w:type="pct"/>
            <w:tcBorders>
              <w:right w:val="single" w:sz="8" w:space="0" w:color="4F81BD" w:themeColor="accent1"/>
            </w:tcBorders>
            <w:hideMark/>
          </w:tcPr>
          <w:p w:rsidR="009C1200" w:rsidRDefault="009C1200">
            <w:pPr>
              <w:jc w:val="center"/>
              <w:cnfStyle w:val="0000001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plní</w:t>
            </w:r>
          </w:p>
        </w:tc>
      </w:tr>
      <w:tr w:rsidR="009C1200" w:rsidTr="009C1200">
        <w:tc>
          <w:tcPr>
            <w:cnfStyle w:val="001000000000"/>
            <w:tcW w:w="818" w:type="pct"/>
            <w:tcBorders>
              <w:top w:val="nil"/>
            </w:tcBorders>
            <w:noWrap/>
          </w:tcPr>
          <w:p w:rsidR="009C1200" w:rsidRDefault="009C1200">
            <w:pPr>
              <w:rPr>
                <w:rFonts w:ascii="Times New Roman" w:eastAsiaTheme="minorEastAsia" w:hAnsi="Times New Roman" w:cs="Times New Roman"/>
                <w:sz w:val="24"/>
                <w:szCs w:val="24"/>
              </w:rPr>
            </w:pPr>
          </w:p>
        </w:tc>
        <w:tc>
          <w:tcPr>
            <w:tcW w:w="849" w:type="pct"/>
            <w:tcBorders>
              <w:top w:val="nil"/>
              <w:left w:val="nil"/>
              <w:bottom w:val="nil"/>
              <w:right w:val="nil"/>
            </w:tcBorders>
            <w:hideMark/>
          </w:tcPr>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9:00-12:00</w:t>
            </w:r>
          </w:p>
        </w:tc>
        <w:tc>
          <w:tcPr>
            <w:tcW w:w="849" w:type="pct"/>
            <w:tcBorders>
              <w:top w:val="nil"/>
              <w:left w:val="nil"/>
              <w:bottom w:val="nil"/>
              <w:right w:val="nil"/>
            </w:tcBorders>
            <w:hideMark/>
          </w:tcPr>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Volné činnosti a aktivity řízené pedagogickými pracovníky</w:t>
            </w:r>
          </w:p>
        </w:tc>
        <w:tc>
          <w:tcPr>
            <w:tcW w:w="850" w:type="pct"/>
            <w:tcBorders>
              <w:top w:val="nil"/>
              <w:left w:val="nil"/>
              <w:bottom w:val="nil"/>
              <w:right w:val="nil"/>
            </w:tcBorders>
          </w:tcPr>
          <w:p w:rsidR="009C1200" w:rsidRDefault="009C1200">
            <w:pPr>
              <w:jc w:val="center"/>
              <w:cnfStyle w:val="000000000000"/>
              <w:rPr>
                <w:rFonts w:ascii="Times New Roman" w:eastAsiaTheme="minorEastAsia" w:hAnsi="Times New Roman" w:cs="Times New Roman"/>
                <w:sz w:val="24"/>
                <w:szCs w:val="24"/>
              </w:rPr>
            </w:pPr>
          </w:p>
          <w:p w:rsidR="009C1200" w:rsidRDefault="009C1200">
            <w:pPr>
              <w:jc w:val="center"/>
              <w:cnfStyle w:val="000000000000"/>
              <w:rPr>
                <w:rFonts w:ascii="Times New Roman" w:eastAsiaTheme="minorEastAsia" w:hAnsi="Times New Roman" w:cs="Times New Roman"/>
                <w:sz w:val="24"/>
                <w:szCs w:val="24"/>
              </w:rPr>
            </w:pPr>
          </w:p>
          <w:p w:rsidR="009C1200" w:rsidRDefault="009C1200">
            <w:pPr>
              <w:jc w:val="center"/>
              <w:cnfStyle w:val="0000000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12:00</w:t>
            </w:r>
          </w:p>
        </w:tc>
        <w:tc>
          <w:tcPr>
            <w:tcW w:w="851" w:type="pct"/>
            <w:tcBorders>
              <w:top w:val="nil"/>
              <w:left w:val="nil"/>
              <w:bottom w:val="nil"/>
              <w:right w:val="nil"/>
            </w:tcBorders>
          </w:tcPr>
          <w:p w:rsidR="009C1200" w:rsidRDefault="009C1200">
            <w:pPr>
              <w:jc w:val="center"/>
              <w:cnfStyle w:val="000000000000"/>
              <w:rPr>
                <w:rFonts w:ascii="Times New Roman" w:eastAsiaTheme="minorEastAsia" w:hAnsi="Times New Roman" w:cs="Times New Roman"/>
                <w:sz w:val="24"/>
                <w:szCs w:val="24"/>
              </w:rPr>
            </w:pPr>
          </w:p>
        </w:tc>
        <w:tc>
          <w:tcPr>
            <w:tcW w:w="783" w:type="pct"/>
            <w:tcBorders>
              <w:top w:val="nil"/>
              <w:left w:val="nil"/>
              <w:bottom w:val="nil"/>
              <w:right w:val="single" w:sz="8" w:space="0" w:color="4F81BD" w:themeColor="accent1"/>
            </w:tcBorders>
            <w:hideMark/>
          </w:tcPr>
          <w:p w:rsidR="009C1200" w:rsidRDefault="009C1200">
            <w:pPr>
              <w:jc w:val="center"/>
              <w:cnfStyle w:val="00000000000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povinnost předškolního vzdělávání</w:t>
            </w:r>
          </w:p>
        </w:tc>
      </w:tr>
      <w:tr w:rsidR="009C1200" w:rsidTr="009C1200">
        <w:trPr>
          <w:cnfStyle w:val="000000100000"/>
        </w:trPr>
        <w:tc>
          <w:tcPr>
            <w:cnfStyle w:val="001000000000"/>
            <w:tcW w:w="818" w:type="pct"/>
            <w:noWrap/>
          </w:tcPr>
          <w:p w:rsidR="009C1200" w:rsidRDefault="009C1200">
            <w:pPr>
              <w:rPr>
                <w:rFonts w:ascii="Times New Roman" w:eastAsiaTheme="minorEastAsia" w:hAnsi="Times New Roman" w:cs="Times New Roman"/>
                <w:sz w:val="24"/>
                <w:szCs w:val="24"/>
              </w:rPr>
            </w:pP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12:00 – 12:30</w:t>
            </w:r>
          </w:p>
        </w:tc>
        <w:tc>
          <w:tcPr>
            <w:tcW w:w="849" w:type="pct"/>
            <w:hideMark/>
          </w:tcPr>
          <w:p w:rsidR="009C1200" w:rsidRDefault="009C1200">
            <w:pPr>
              <w:jc w:val="cente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Oběd a osobní hygiena</w:t>
            </w:r>
          </w:p>
        </w:tc>
        <w:tc>
          <w:tcPr>
            <w:tcW w:w="850" w:type="pct"/>
            <w:hideMark/>
          </w:tcPr>
          <w:p w:rsidR="009C1200" w:rsidRDefault="009C1200">
            <w:pPr>
              <w:cnfStyle w:val="00000010000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c>
          <w:tcPr>
            <w:tcW w:w="851" w:type="pct"/>
          </w:tcPr>
          <w:p w:rsidR="009C1200" w:rsidRDefault="009C1200">
            <w:pPr>
              <w:jc w:val="center"/>
              <w:cnfStyle w:val="000000100000"/>
              <w:rPr>
                <w:rFonts w:ascii="Times New Roman" w:eastAsiaTheme="minorEastAsia" w:hAnsi="Times New Roman" w:cs="Times New Roman"/>
                <w:sz w:val="24"/>
                <w:szCs w:val="24"/>
              </w:rPr>
            </w:pPr>
          </w:p>
        </w:tc>
        <w:tc>
          <w:tcPr>
            <w:tcW w:w="783" w:type="pct"/>
            <w:tcBorders>
              <w:right w:val="single" w:sz="8" w:space="0" w:color="4F81BD" w:themeColor="accent1"/>
            </w:tcBorders>
          </w:tcPr>
          <w:p w:rsidR="009C1200" w:rsidRDefault="009C1200">
            <w:pPr>
              <w:jc w:val="center"/>
              <w:cnfStyle w:val="000000100000"/>
              <w:rPr>
                <w:rFonts w:ascii="Times New Roman" w:eastAsiaTheme="minorEastAsia" w:hAnsi="Times New Roman" w:cs="Times New Roman"/>
                <w:sz w:val="24"/>
                <w:szCs w:val="24"/>
              </w:rPr>
            </w:pPr>
          </w:p>
        </w:tc>
      </w:tr>
    </w:tbl>
    <w:p w:rsidR="009C1200" w:rsidRDefault="009C1200" w:rsidP="009C1200">
      <w:pPr>
        <w:ind w:left="426"/>
        <w:rPr>
          <w:rFonts w:ascii="Times New Roman" w:hAnsi="Times New Roman" w:cs="Times New Roman"/>
          <w:sz w:val="24"/>
          <w:szCs w:val="24"/>
        </w:rPr>
      </w:pPr>
    </w:p>
    <w:p w:rsidR="009C1200" w:rsidRDefault="009C1200" w:rsidP="009C1200">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Podrobný režim celého dne je uveden ve Školním vzdělávacím programu předškolního vzdělávání.</w:t>
      </w:r>
    </w:p>
    <w:p w:rsidR="009C1200" w:rsidRDefault="009C1200" w:rsidP="009C120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0"/>
          <w:lang w:eastAsia="cs-CZ"/>
        </w:rPr>
      </w:pPr>
    </w:p>
    <w:p w:rsidR="009C1200" w:rsidRDefault="009C1200" w:rsidP="009C1200">
      <w:pPr>
        <w:pStyle w:val="Odstavecseseznamem"/>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Výjimku z povinnosti předškolního vzdělávání mají děti, které předčasně nastoupí k plnění povinné školní docházky. Povinné předškolní vzdělávání se nevztahuje na děti s hlubokým mentálním postižením.</w:t>
      </w:r>
    </w:p>
    <w:p w:rsidR="009C1200" w:rsidRPr="009C1200" w:rsidRDefault="009C1200" w:rsidP="009C1200">
      <w:pPr>
        <w:jc w:val="center"/>
        <w:rPr>
          <w:rFonts w:ascii="Times New Roman" w:hAnsi="Times New Roman" w:cs="Times New Roman"/>
        </w:rPr>
      </w:pPr>
    </w:p>
    <w:sectPr w:rsidR="009C1200" w:rsidRPr="009C1200" w:rsidSect="00397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670A4"/>
    <w:multiLevelType w:val="hybridMultilevel"/>
    <w:tmpl w:val="4A5C1C42"/>
    <w:lvl w:ilvl="0" w:tplc="29A633AC">
      <w:start w:val="4"/>
      <w:numFmt w:val="bullet"/>
      <w:lvlText w:val="-"/>
      <w:lvlJc w:val="left"/>
      <w:pPr>
        <w:ind w:left="786"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1200"/>
    <w:rsid w:val="00397FE1"/>
    <w:rsid w:val="0099409D"/>
    <w:rsid w:val="009C1200"/>
    <w:rsid w:val="00B01AD6"/>
    <w:rsid w:val="00F83D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7FE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1200"/>
    <w:pPr>
      <w:ind w:left="720"/>
      <w:contextualSpacing/>
    </w:pPr>
  </w:style>
  <w:style w:type="table" w:styleId="Stednseznam2zvraznn1">
    <w:name w:val="Medium List 2 Accent 1"/>
    <w:basedOn w:val="Normlntabulka"/>
    <w:uiPriority w:val="66"/>
    <w:rsid w:val="009C120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4648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1174</Characters>
  <Application>Microsoft Office Word</Application>
  <DocSecurity>0</DocSecurity>
  <Lines>9</Lines>
  <Paragraphs>2</Paragraphs>
  <ScaleCrop>false</ScaleCrop>
  <Company>Hewlett-Packard Company</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4</cp:revision>
  <dcterms:created xsi:type="dcterms:W3CDTF">2017-04-18T12:00:00Z</dcterms:created>
  <dcterms:modified xsi:type="dcterms:W3CDTF">2017-04-18T13:12:00Z</dcterms:modified>
</cp:coreProperties>
</file>